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81" w:rsidRDefault="00A32181" w:rsidP="00A32181">
      <w:pPr>
        <w:pStyle w:val="Heading1"/>
        <w:jc w:val="center"/>
      </w:pPr>
      <w:r>
        <w:t xml:space="preserve">FAQs Public Records </w:t>
      </w:r>
    </w:p>
    <w:p w:rsidR="00A32181" w:rsidRPr="00A32181" w:rsidRDefault="00A32181" w:rsidP="00DF6053">
      <w:pPr>
        <w:numPr>
          <w:ilvl w:val="0"/>
          <w:numId w:val="1"/>
        </w:numPr>
      </w:pPr>
      <w:r>
        <w:rPr>
          <w:b/>
          <w:bCs/>
        </w:rPr>
        <w:t>What is a public record?</w:t>
      </w:r>
    </w:p>
    <w:p w:rsidR="00A32181" w:rsidRPr="00A32181" w:rsidRDefault="00A32181" w:rsidP="00A32181">
      <w:pPr>
        <w:numPr>
          <w:ilvl w:val="1"/>
          <w:numId w:val="1"/>
        </w:numPr>
      </w:pPr>
      <w:r w:rsidRPr="00A32181">
        <w:rPr>
          <w:bCs/>
        </w:rPr>
        <w:t xml:space="preserve">Any record made or received in connection with the transaction of official business of the University unless it is exempt from disclosure by statute.  </w:t>
      </w:r>
    </w:p>
    <w:p w:rsidR="00A32181" w:rsidRDefault="005218B4" w:rsidP="00A32181">
      <w:pPr>
        <w:numPr>
          <w:ilvl w:val="1"/>
          <w:numId w:val="1"/>
        </w:numPr>
      </w:pPr>
      <w:r>
        <w:t>I</w:t>
      </w:r>
      <w:r w:rsidR="00A32181">
        <w:t xml:space="preserve">ncludes all </w:t>
      </w:r>
      <w:r w:rsidR="00A32181" w:rsidRPr="00A32181">
        <w:t>documents, papers, letters, maps, books, tapes, photographs, films, sound recordings, data processing software, or other material</w:t>
      </w:r>
      <w:r w:rsidR="00A32181">
        <w:t>.</w:t>
      </w:r>
    </w:p>
    <w:p w:rsidR="001C0D87" w:rsidRDefault="001C0D87" w:rsidP="001C0D87">
      <w:pPr>
        <w:numPr>
          <w:ilvl w:val="2"/>
          <w:numId w:val="1"/>
        </w:numPr>
      </w:pPr>
      <w:r>
        <w:t>This includes email messages, text messages, instant messaging services like Jabber, and social media.</w:t>
      </w:r>
    </w:p>
    <w:p w:rsidR="005218B4" w:rsidRDefault="005218B4" w:rsidP="001C0D87">
      <w:pPr>
        <w:numPr>
          <w:ilvl w:val="1"/>
          <w:numId w:val="1"/>
        </w:numPr>
      </w:pPr>
      <w:r>
        <w:t>Personal notes, even If they are about work-related matters, are not public records unless they are shared or filed in a University file.</w:t>
      </w:r>
    </w:p>
    <w:p w:rsidR="001C0D87" w:rsidRDefault="001C0D87" w:rsidP="001C0D87">
      <w:pPr>
        <w:numPr>
          <w:ilvl w:val="1"/>
          <w:numId w:val="1"/>
        </w:numPr>
      </w:pPr>
      <w:r w:rsidRPr="001C0D87">
        <w:t xml:space="preserve">If material falls within the definition of “public record” it must be disclosed </w:t>
      </w:r>
      <w:r>
        <w:t>upon request</w:t>
      </w:r>
      <w:r w:rsidRPr="001C0D87">
        <w:t xml:space="preserve"> unless there is a statutory exemption.</w:t>
      </w:r>
    </w:p>
    <w:p w:rsidR="005218B4" w:rsidRPr="001C0D87" w:rsidRDefault="005218B4" w:rsidP="005218B4">
      <w:pPr>
        <w:numPr>
          <w:ilvl w:val="1"/>
          <w:numId w:val="1"/>
        </w:numPr>
      </w:pPr>
      <w:r>
        <w:t xml:space="preserve">See </w:t>
      </w:r>
      <w:hyperlink r:id="rId5" w:history="1">
        <w:r>
          <w:rPr>
            <w:rStyle w:val="Hyperlink"/>
          </w:rPr>
          <w:t>FPU-1.0123P Public Records Policy</w:t>
        </w:r>
      </w:hyperlink>
      <w:r>
        <w:t xml:space="preserve"> for more information</w:t>
      </w:r>
    </w:p>
    <w:p w:rsidR="00F62B40" w:rsidRPr="001C0D87" w:rsidRDefault="00F62B40" w:rsidP="00DF6053">
      <w:pPr>
        <w:numPr>
          <w:ilvl w:val="0"/>
          <w:numId w:val="1"/>
        </w:numPr>
        <w:rPr>
          <w:b/>
        </w:rPr>
      </w:pPr>
      <w:r w:rsidRPr="001C0D87">
        <w:rPr>
          <w:b/>
        </w:rPr>
        <w:t xml:space="preserve">What </w:t>
      </w:r>
      <w:r w:rsidR="001C0D87">
        <w:rPr>
          <w:b/>
        </w:rPr>
        <w:t xml:space="preserve">are some common </w:t>
      </w:r>
      <w:r w:rsidRPr="001C0D87">
        <w:rPr>
          <w:b/>
        </w:rPr>
        <w:t xml:space="preserve">records </w:t>
      </w:r>
      <w:r w:rsidR="005218B4">
        <w:rPr>
          <w:b/>
        </w:rPr>
        <w:t xml:space="preserve">that </w:t>
      </w:r>
      <w:r w:rsidRPr="001C0D87">
        <w:rPr>
          <w:b/>
        </w:rPr>
        <w:t>are exempt from disclosure?</w:t>
      </w:r>
    </w:p>
    <w:p w:rsidR="00F62B40" w:rsidRDefault="00FB1CAA" w:rsidP="00F62B40">
      <w:pPr>
        <w:numPr>
          <w:ilvl w:val="1"/>
          <w:numId w:val="1"/>
        </w:numPr>
      </w:pPr>
      <w:r>
        <w:t>Education records under FERPA</w:t>
      </w:r>
      <w:bookmarkStart w:id="0" w:name="_GoBack"/>
      <w:bookmarkEnd w:id="0"/>
    </w:p>
    <w:p w:rsidR="00FB1CAA" w:rsidRPr="00F62B40" w:rsidRDefault="00FB1CAA" w:rsidP="00F62B40">
      <w:pPr>
        <w:numPr>
          <w:ilvl w:val="1"/>
          <w:numId w:val="1"/>
        </w:numPr>
      </w:pPr>
      <w:r>
        <w:t>Applicant records</w:t>
      </w:r>
    </w:p>
    <w:p w:rsidR="00F62B40" w:rsidRPr="00F62B40" w:rsidRDefault="00FB1CAA" w:rsidP="00F62B40">
      <w:pPr>
        <w:numPr>
          <w:ilvl w:val="1"/>
          <w:numId w:val="1"/>
        </w:numPr>
      </w:pPr>
      <w:r>
        <w:t>Social Security numbers</w:t>
      </w:r>
    </w:p>
    <w:p w:rsidR="00F62B40" w:rsidRPr="00F62B40" w:rsidRDefault="00FB1CAA" w:rsidP="00F62B40">
      <w:pPr>
        <w:numPr>
          <w:ilvl w:val="1"/>
          <w:numId w:val="1"/>
        </w:numPr>
      </w:pPr>
      <w:r>
        <w:t>Medical/psychological information</w:t>
      </w:r>
    </w:p>
    <w:p w:rsidR="00F62B40" w:rsidRPr="00F62B40" w:rsidRDefault="00F62B40" w:rsidP="00F62B40">
      <w:pPr>
        <w:numPr>
          <w:ilvl w:val="1"/>
          <w:numId w:val="1"/>
        </w:numPr>
      </w:pPr>
      <w:r w:rsidRPr="00F62B40">
        <w:t xml:space="preserve">Records maintained for the purposes of any investigation of employee misconduct, grievance proceeding, or disciplinary proceeding until complete. </w:t>
      </w:r>
    </w:p>
    <w:p w:rsidR="00F62B40" w:rsidRPr="00F62B40" w:rsidRDefault="00F62B40" w:rsidP="00F62B40">
      <w:pPr>
        <w:numPr>
          <w:ilvl w:val="1"/>
          <w:numId w:val="1"/>
        </w:numPr>
      </w:pPr>
      <w:r w:rsidRPr="00F62B40">
        <w:t>Academic evaluations of faculty records. This does not include in the State University System Student Assessment of Instruction.</w:t>
      </w:r>
    </w:p>
    <w:p w:rsidR="00F62B40" w:rsidRDefault="00F62B40" w:rsidP="00F62B40">
      <w:pPr>
        <w:numPr>
          <w:ilvl w:val="1"/>
          <w:numId w:val="1"/>
        </w:numPr>
      </w:pPr>
      <w:r w:rsidRPr="00F62B40">
        <w:t>Certain collective bargaining records</w:t>
      </w:r>
    </w:p>
    <w:p w:rsidR="001C0D87" w:rsidRDefault="001C0D87" w:rsidP="00F62B40">
      <w:pPr>
        <w:numPr>
          <w:ilvl w:val="1"/>
          <w:numId w:val="1"/>
        </w:numPr>
      </w:pPr>
      <w:r>
        <w:t>All Foundation records</w:t>
      </w:r>
      <w:r w:rsidR="006D6903" w:rsidRPr="006D6903">
        <w:rPr>
          <w:rFonts w:ascii="Trebuchet MS" w:hAnsi="Trebuchet MS"/>
          <w:color w:val="000080"/>
          <w:sz w:val="20"/>
          <w:szCs w:val="20"/>
          <w:shd w:val="clear" w:color="auto" w:fill="FFFFFF"/>
        </w:rPr>
        <w:t xml:space="preserve"> </w:t>
      </w:r>
      <w:r w:rsidR="006D6903">
        <w:t>except for</w:t>
      </w:r>
      <w:r w:rsidR="006D6903" w:rsidRPr="006D6903">
        <w:t xml:space="preserve"> the auditor’s report, management letter, and any supplemental data requested by the Board of Governors, the university board of trustees, the Auditor General, and the Office of Program Policy Analysis and Government Accountability </w:t>
      </w:r>
      <w:r w:rsidR="006D6903">
        <w:t xml:space="preserve"> (see Section 1004.28(5)(b), Florida Statutes) </w:t>
      </w:r>
    </w:p>
    <w:p w:rsidR="006D6903" w:rsidRPr="00F62B40" w:rsidRDefault="006D6903" w:rsidP="00F62B40">
      <w:pPr>
        <w:numPr>
          <w:ilvl w:val="1"/>
          <w:numId w:val="1"/>
        </w:numPr>
      </w:pPr>
      <w:r>
        <w:t xml:space="preserve">Personal banking information </w:t>
      </w:r>
    </w:p>
    <w:p w:rsidR="00A32181" w:rsidRPr="00A32181" w:rsidRDefault="00A32181" w:rsidP="00DF6053">
      <w:pPr>
        <w:numPr>
          <w:ilvl w:val="0"/>
          <w:numId w:val="1"/>
        </w:numPr>
      </w:pPr>
      <w:r>
        <w:rPr>
          <w:b/>
          <w:bCs/>
        </w:rPr>
        <w:t>What do you do if you receive a public records request?</w:t>
      </w:r>
    </w:p>
    <w:p w:rsidR="00A32181" w:rsidRPr="00A32181" w:rsidRDefault="00A32181" w:rsidP="00A32181">
      <w:pPr>
        <w:numPr>
          <w:ilvl w:val="1"/>
          <w:numId w:val="1"/>
        </w:numPr>
      </w:pPr>
      <w:r w:rsidRPr="00A32181">
        <w:t>Immediately forward the request to the Office of the General Counsel</w:t>
      </w:r>
      <w:r>
        <w:t xml:space="preserve">: </w:t>
      </w:r>
      <w:hyperlink r:id="rId6" w:history="1">
        <w:r w:rsidRPr="00931D56">
          <w:rPr>
            <w:rStyle w:val="Hyperlink"/>
          </w:rPr>
          <w:t>OGC@floridapoly.edu</w:t>
        </w:r>
      </w:hyperlink>
      <w:r>
        <w:t xml:space="preserve"> </w:t>
      </w:r>
      <w:r w:rsidRPr="00A32181">
        <w:t xml:space="preserve"> </w:t>
      </w:r>
      <w:r>
        <w:t xml:space="preserve"> </w:t>
      </w:r>
      <w:r w:rsidR="005218B4">
        <w:t>if received by email. Otherwise, immediately notify the OGC.</w:t>
      </w:r>
    </w:p>
    <w:p w:rsidR="00A32181" w:rsidRPr="00A32181" w:rsidRDefault="00A32181" w:rsidP="00DF6053">
      <w:pPr>
        <w:numPr>
          <w:ilvl w:val="0"/>
          <w:numId w:val="1"/>
        </w:numPr>
      </w:pPr>
      <w:r>
        <w:rPr>
          <w:b/>
          <w:bCs/>
        </w:rPr>
        <w:t>What are the record retention requirements?</w:t>
      </w:r>
    </w:p>
    <w:p w:rsidR="00A32181" w:rsidRPr="00A32181" w:rsidRDefault="00A32181" w:rsidP="00A32181">
      <w:pPr>
        <w:numPr>
          <w:ilvl w:val="1"/>
          <w:numId w:val="1"/>
        </w:numPr>
      </w:pPr>
      <w:r w:rsidRPr="00A32181">
        <w:lastRenderedPageBreak/>
        <w:t>Must be maintained in accordance with retention schedules promulgated by the state librarian.</w:t>
      </w:r>
      <w:r>
        <w:t xml:space="preserve"> </w:t>
      </w:r>
      <w:hyperlink r:id="rId7" w:history="1">
        <w:r w:rsidRPr="00931D56">
          <w:rPr>
            <w:rStyle w:val="Hyperlink"/>
          </w:rPr>
          <w:t>http://dos.myflorida.com/library-archives/records-management/general-records-schedules/</w:t>
        </w:r>
      </w:hyperlink>
      <w:r>
        <w:t xml:space="preserve"> </w:t>
      </w:r>
    </w:p>
    <w:p w:rsidR="00A32181" w:rsidRPr="00A32181" w:rsidRDefault="00A32181" w:rsidP="00A32181">
      <w:pPr>
        <w:numPr>
          <w:ilvl w:val="1"/>
          <w:numId w:val="1"/>
        </w:numPr>
      </w:pPr>
      <w:r w:rsidRPr="00A32181">
        <w:t>The Secretary of State publishes a handbook called “The Basics of Records Management Handbook”</w:t>
      </w:r>
      <w:r>
        <w:t xml:space="preserve"> </w:t>
      </w:r>
      <w:hyperlink r:id="rId8" w:history="1">
        <w:r w:rsidRPr="00931D56">
          <w:rPr>
            <w:rStyle w:val="Hyperlink"/>
          </w:rPr>
          <w:t>http://dos.myflorida.com/media/31105/basicsrecordsmanagement.pdf</w:t>
        </w:r>
      </w:hyperlink>
      <w:r>
        <w:t xml:space="preserve"> </w:t>
      </w:r>
    </w:p>
    <w:p w:rsidR="00A32181" w:rsidRDefault="00A32181" w:rsidP="00A32181">
      <w:pPr>
        <w:numPr>
          <w:ilvl w:val="1"/>
          <w:numId w:val="1"/>
        </w:numPr>
      </w:pPr>
      <w:r w:rsidRPr="00A32181">
        <w:t>Records Retention Schedule for Public Universities and Colleges:</w:t>
      </w:r>
      <w:r>
        <w:t xml:space="preserve"> </w:t>
      </w:r>
      <w:hyperlink r:id="rId9" w:history="1">
        <w:r w:rsidRPr="00931D56">
          <w:rPr>
            <w:rStyle w:val="Hyperlink"/>
          </w:rPr>
          <w:t>http://dos.myflorida.com/media/693587/gs05.xls</w:t>
        </w:r>
      </w:hyperlink>
      <w:r>
        <w:t xml:space="preserve"> </w:t>
      </w:r>
    </w:p>
    <w:p w:rsidR="005218B4" w:rsidRPr="00A32181" w:rsidRDefault="005218B4" w:rsidP="005218B4">
      <w:pPr>
        <w:numPr>
          <w:ilvl w:val="1"/>
          <w:numId w:val="1"/>
        </w:numPr>
      </w:pPr>
      <w:r>
        <w:t xml:space="preserve">See </w:t>
      </w:r>
      <w:hyperlink r:id="rId10" w:history="1">
        <w:r w:rsidRPr="005218B4">
          <w:rPr>
            <w:rStyle w:val="Hyperlink"/>
          </w:rPr>
          <w:t>FPU-1.0122P Record Retention Policy</w:t>
        </w:r>
      </w:hyperlink>
      <w:r>
        <w:t xml:space="preserve"> for more information</w:t>
      </w:r>
    </w:p>
    <w:tbl>
      <w:tblPr>
        <w:tblW w:w="10350" w:type="dxa"/>
        <w:tblInd w:w="-458" w:type="dxa"/>
        <w:tblCellMar>
          <w:left w:w="0" w:type="dxa"/>
          <w:right w:w="0" w:type="dxa"/>
        </w:tblCellMar>
        <w:tblLook w:val="0420" w:firstRow="1" w:lastRow="0" w:firstColumn="0" w:lastColumn="0" w:noHBand="0" w:noVBand="1"/>
      </w:tblPr>
      <w:tblGrid>
        <w:gridCol w:w="4140"/>
        <w:gridCol w:w="6210"/>
      </w:tblGrid>
      <w:tr w:rsidR="00A32181" w:rsidRPr="00A32181" w:rsidTr="00A32181">
        <w:trPr>
          <w:trHeight w:val="471"/>
        </w:trPr>
        <w:tc>
          <w:tcPr>
            <w:tcW w:w="4140" w:type="dxa"/>
            <w:tcBorders>
              <w:top w:val="single" w:sz="6" w:space="0" w:color="2828B8"/>
              <w:left w:val="single" w:sz="6" w:space="0" w:color="2828B8"/>
              <w:bottom w:val="single" w:sz="18" w:space="0" w:color="FFFFFF"/>
              <w:right w:val="nil"/>
            </w:tcBorders>
            <w:shd w:val="clear" w:color="auto" w:fill="492F92"/>
            <w:tcMar>
              <w:top w:w="72" w:type="dxa"/>
              <w:left w:w="144" w:type="dxa"/>
              <w:bottom w:w="72" w:type="dxa"/>
              <w:right w:w="144" w:type="dxa"/>
            </w:tcMar>
            <w:hideMark/>
          </w:tcPr>
          <w:p w:rsidR="00A32181" w:rsidRPr="00A32181" w:rsidRDefault="005218B4" w:rsidP="00A32181">
            <w:pPr>
              <w:spacing w:after="0" w:line="240" w:lineRule="auto"/>
              <w:rPr>
                <w:rFonts w:ascii="Arial" w:eastAsia="Times New Roman" w:hAnsiTheme="majorHAnsi" w:cs="Arial"/>
              </w:rPr>
            </w:pPr>
            <w:r>
              <w:rPr>
                <w:rFonts w:asciiTheme="majorHAnsi" w:eastAsia="Times New Roman" w:hAnsiTheme="majorHAnsi" w:cs="Arial"/>
                <w:b/>
                <w:bCs/>
                <w:color w:val="FFFFFF" w:themeColor="light1"/>
                <w:kern w:val="24"/>
              </w:rPr>
              <w:t xml:space="preserve">Common </w:t>
            </w:r>
            <w:r w:rsidR="00A32181" w:rsidRPr="00A32181">
              <w:rPr>
                <w:rFonts w:asciiTheme="majorHAnsi" w:eastAsia="Times New Roman" w:hAnsiTheme="majorHAnsi" w:cs="Arial"/>
                <w:b/>
                <w:bCs/>
                <w:color w:val="FFFFFF" w:themeColor="light1"/>
                <w:kern w:val="24"/>
              </w:rPr>
              <w:t>Record</w:t>
            </w:r>
            <w:r>
              <w:rPr>
                <w:rFonts w:asciiTheme="majorHAnsi" w:eastAsia="Times New Roman" w:hAnsiTheme="majorHAnsi" w:cs="Arial"/>
                <w:b/>
                <w:bCs/>
                <w:color w:val="FFFFFF" w:themeColor="light1"/>
                <w:kern w:val="24"/>
              </w:rPr>
              <w:t>s</w:t>
            </w:r>
          </w:p>
        </w:tc>
        <w:tc>
          <w:tcPr>
            <w:tcW w:w="6210" w:type="dxa"/>
            <w:tcBorders>
              <w:top w:val="single" w:sz="6" w:space="0" w:color="2828B8"/>
              <w:left w:val="nil"/>
              <w:bottom w:val="single" w:sz="18" w:space="0" w:color="FFFFFF"/>
              <w:right w:val="single" w:sz="6" w:space="0" w:color="2828B8"/>
            </w:tcBorders>
            <w:shd w:val="clear" w:color="auto" w:fill="492F92"/>
            <w:tcMar>
              <w:top w:w="72" w:type="dxa"/>
              <w:left w:w="144" w:type="dxa"/>
              <w:bottom w:w="72" w:type="dxa"/>
              <w:right w:w="144" w:type="dxa"/>
            </w:tcMar>
            <w:hideMark/>
          </w:tcPr>
          <w:p w:rsidR="00A32181" w:rsidRPr="00A32181" w:rsidRDefault="00A32181" w:rsidP="00A32181">
            <w:pPr>
              <w:spacing w:after="0" w:line="240" w:lineRule="auto"/>
              <w:rPr>
                <w:rFonts w:ascii="Arial" w:eastAsia="Times New Roman" w:hAnsiTheme="majorHAnsi" w:cs="Arial"/>
              </w:rPr>
            </w:pPr>
            <w:r w:rsidRPr="00A32181">
              <w:rPr>
                <w:rFonts w:asciiTheme="majorHAnsi" w:eastAsia="Times New Roman" w:hAnsiTheme="majorHAnsi" w:cs="Arial"/>
                <w:b/>
                <w:bCs/>
                <w:color w:val="FFFFFF" w:themeColor="light1"/>
                <w:kern w:val="24"/>
              </w:rPr>
              <w:t xml:space="preserve">Retention Period </w:t>
            </w:r>
          </w:p>
        </w:tc>
      </w:tr>
      <w:tr w:rsidR="00A32181" w:rsidRPr="00A32181" w:rsidTr="00A32181">
        <w:trPr>
          <w:trHeight w:val="345"/>
        </w:trPr>
        <w:tc>
          <w:tcPr>
            <w:tcW w:w="4140" w:type="dxa"/>
            <w:tcBorders>
              <w:top w:val="single" w:sz="18" w:space="0" w:color="FFFFFF"/>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Departmental Annual Reports</w:t>
            </w:r>
          </w:p>
        </w:tc>
        <w:tc>
          <w:tcPr>
            <w:tcW w:w="6210" w:type="dxa"/>
            <w:tcBorders>
              <w:top w:val="single" w:sz="18" w:space="0" w:color="FFFFFF"/>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3 fiscal years</w:t>
            </w:r>
          </w:p>
        </w:tc>
      </w:tr>
      <w:tr w:rsidR="00A32181" w:rsidRPr="00A32181" w:rsidTr="00A32181">
        <w:trPr>
          <w:trHeight w:val="330"/>
        </w:trPr>
        <w:tc>
          <w:tcPr>
            <w:tcW w:w="414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Class Rolls</w:t>
            </w:r>
          </w:p>
        </w:tc>
        <w:tc>
          <w:tcPr>
            <w:tcW w:w="621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3 fiscal years provided applicable audits have been released</w:t>
            </w:r>
          </w:p>
        </w:tc>
      </w:tr>
      <w:tr w:rsidR="00A32181" w:rsidRPr="00A32181" w:rsidTr="00A32181">
        <w:trPr>
          <w:trHeight w:val="330"/>
        </w:trPr>
        <w:tc>
          <w:tcPr>
            <w:tcW w:w="414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Class, Course, Room, and Faculty Schedules</w:t>
            </w:r>
          </w:p>
        </w:tc>
        <w:tc>
          <w:tcPr>
            <w:tcW w:w="621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End of semester</w:t>
            </w:r>
          </w:p>
        </w:tc>
      </w:tr>
      <w:tr w:rsidR="00A32181" w:rsidRPr="00A32181" w:rsidTr="00A32181">
        <w:trPr>
          <w:trHeight w:val="600"/>
        </w:trPr>
        <w:tc>
          <w:tcPr>
            <w:tcW w:w="414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 xml:space="preserve">Course and Program Records: Descriptions and Requirements </w:t>
            </w:r>
          </w:p>
        </w:tc>
        <w:tc>
          <w:tcPr>
            <w:tcW w:w="621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Retain until obsolete, superseded, or administrative value is lost</w:t>
            </w:r>
          </w:p>
        </w:tc>
      </w:tr>
      <w:tr w:rsidR="00A32181" w:rsidRPr="00A32181" w:rsidTr="00A32181">
        <w:trPr>
          <w:trHeight w:val="600"/>
        </w:trPr>
        <w:tc>
          <w:tcPr>
            <w:tcW w:w="414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Course and Program Records: Professor/Department Files</w:t>
            </w:r>
          </w:p>
        </w:tc>
        <w:tc>
          <w:tcPr>
            <w:tcW w:w="621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2 anniversary years after training provided applicable audits have been released.</w:t>
            </w:r>
          </w:p>
        </w:tc>
      </w:tr>
      <w:tr w:rsidR="00A32181" w:rsidRPr="00A32181" w:rsidTr="00A32181">
        <w:trPr>
          <w:trHeight w:val="393"/>
        </w:trPr>
        <w:tc>
          <w:tcPr>
            <w:tcW w:w="414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 xml:space="preserve">Examination Materials: Non-Standardized: </w:t>
            </w:r>
          </w:p>
        </w:tc>
        <w:tc>
          <w:tcPr>
            <w:tcW w:w="621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1 semester after expiration of appeal process.</w:t>
            </w:r>
          </w:p>
        </w:tc>
      </w:tr>
      <w:tr w:rsidR="00A32181" w:rsidRPr="00A32181" w:rsidTr="00A32181">
        <w:trPr>
          <w:trHeight w:val="600"/>
        </w:trPr>
        <w:tc>
          <w:tcPr>
            <w:tcW w:w="414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Examination Materials: Standardized</w:t>
            </w:r>
          </w:p>
        </w:tc>
        <w:tc>
          <w:tcPr>
            <w:tcW w:w="621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3 fiscal years provided test scores posted to permanent record and provided applicable audits have been released.</w:t>
            </w:r>
          </w:p>
        </w:tc>
      </w:tr>
      <w:tr w:rsidR="00A32181" w:rsidRPr="00A32181" w:rsidTr="00A32181">
        <w:trPr>
          <w:trHeight w:val="600"/>
        </w:trPr>
        <w:tc>
          <w:tcPr>
            <w:tcW w:w="414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Faculty Sabbatical/Professional Development Leave Records</w:t>
            </w:r>
          </w:p>
        </w:tc>
        <w:tc>
          <w:tcPr>
            <w:tcW w:w="621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5 fiscal years after final report submitted or notification of denial.</w:t>
            </w:r>
          </w:p>
        </w:tc>
      </w:tr>
      <w:tr w:rsidR="00A32181" w:rsidRPr="00A32181" w:rsidTr="00A32181">
        <w:trPr>
          <w:trHeight w:val="420"/>
        </w:trPr>
        <w:tc>
          <w:tcPr>
            <w:tcW w:w="414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Grade Records: Data Input Forms</w:t>
            </w:r>
          </w:p>
        </w:tc>
        <w:tc>
          <w:tcPr>
            <w:tcW w:w="621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1 semester provided posted to Student Record.</w:t>
            </w:r>
          </w:p>
        </w:tc>
      </w:tr>
      <w:tr w:rsidR="00A32181" w:rsidRPr="00A32181" w:rsidTr="00A32181">
        <w:trPr>
          <w:trHeight w:val="420"/>
        </w:trPr>
        <w:tc>
          <w:tcPr>
            <w:tcW w:w="414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tabs>
                <w:tab w:val="left" w:pos="3375"/>
              </w:tabs>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In-Service Education Records</w:t>
            </w:r>
          </w:p>
        </w:tc>
        <w:tc>
          <w:tcPr>
            <w:tcW w:w="621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5 fiscal years provided applicable audits have been released.</w:t>
            </w:r>
          </w:p>
        </w:tc>
      </w:tr>
      <w:tr w:rsidR="00A32181" w:rsidRPr="00A32181" w:rsidTr="00A32181">
        <w:trPr>
          <w:trHeight w:val="393"/>
        </w:trPr>
        <w:tc>
          <w:tcPr>
            <w:tcW w:w="414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Instructor Evaluations</w:t>
            </w:r>
          </w:p>
        </w:tc>
        <w:tc>
          <w:tcPr>
            <w:tcW w:w="621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1 semester after submitted.</w:t>
            </w:r>
          </w:p>
        </w:tc>
      </w:tr>
      <w:tr w:rsidR="00A32181" w:rsidRPr="00A32181" w:rsidTr="00A32181">
        <w:trPr>
          <w:trHeight w:val="420"/>
        </w:trPr>
        <w:tc>
          <w:tcPr>
            <w:tcW w:w="414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Student Class Work Records</w:t>
            </w:r>
          </w:p>
        </w:tc>
        <w:tc>
          <w:tcPr>
            <w:tcW w:w="621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Retain until obsolete, superseded or administrative value is lost.</w:t>
            </w:r>
          </w:p>
        </w:tc>
      </w:tr>
      <w:tr w:rsidR="00A32181" w:rsidRPr="00A32181" w:rsidTr="00A32181">
        <w:trPr>
          <w:trHeight w:val="600"/>
        </w:trPr>
        <w:tc>
          <w:tcPr>
            <w:tcW w:w="414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Student Education Records: Permanent Academic File</w:t>
            </w:r>
          </w:p>
        </w:tc>
        <w:tc>
          <w:tcPr>
            <w:tcW w:w="6210" w:type="dxa"/>
            <w:tcBorders>
              <w:top w:val="single" w:sz="6" w:space="0" w:color="2828B8"/>
              <w:left w:val="single" w:sz="6" w:space="0" w:color="2828B8"/>
              <w:bottom w:val="single" w:sz="6" w:space="0" w:color="2828B8"/>
              <w:right w:val="single" w:sz="6" w:space="0" w:color="2828B8"/>
            </w:tcBorders>
            <w:shd w:val="clear" w:color="auto" w:fill="D8D8D8"/>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Permanent</w:t>
            </w:r>
          </w:p>
        </w:tc>
      </w:tr>
      <w:tr w:rsidR="00A32181" w:rsidRPr="00A32181" w:rsidTr="00A32181">
        <w:trPr>
          <w:trHeight w:val="600"/>
        </w:trPr>
        <w:tc>
          <w:tcPr>
            <w:tcW w:w="414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tabs>
                <w:tab w:val="left" w:pos="3615"/>
              </w:tabs>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Student Education Records: Supporting Documents</w:t>
            </w:r>
          </w:p>
        </w:tc>
        <w:tc>
          <w:tcPr>
            <w:tcW w:w="6210" w:type="dxa"/>
            <w:tcBorders>
              <w:top w:val="single" w:sz="6" w:space="0" w:color="2828B8"/>
              <w:left w:val="single" w:sz="6" w:space="0" w:color="2828B8"/>
              <w:bottom w:val="single" w:sz="6" w:space="0" w:color="2828B8"/>
              <w:right w:val="single" w:sz="6" w:space="0" w:color="2828B8"/>
            </w:tcBorders>
            <w:shd w:val="clear" w:color="auto" w:fill="F2F2F2"/>
            <w:tcMar>
              <w:top w:w="15" w:type="dxa"/>
              <w:left w:w="108" w:type="dxa"/>
              <w:bottom w:w="0" w:type="dxa"/>
              <w:right w:w="108" w:type="dxa"/>
            </w:tcMar>
            <w:hideMark/>
          </w:tcPr>
          <w:p w:rsidR="00A32181" w:rsidRPr="00A32181" w:rsidRDefault="00A32181" w:rsidP="00A32181">
            <w:pPr>
              <w:spacing w:after="0" w:line="256" w:lineRule="auto"/>
              <w:rPr>
                <w:rFonts w:ascii="Arial" w:eastAsia="Times New Roman" w:hAnsiTheme="majorHAnsi" w:cs="Arial"/>
              </w:rPr>
            </w:pPr>
            <w:r w:rsidRPr="00A32181">
              <w:rPr>
                <w:rFonts w:asciiTheme="majorHAnsi" w:eastAsia="Calibri" w:hAnsiTheme="majorHAnsi" w:cs="Times New Roman"/>
                <w:color w:val="000000" w:themeColor="dark1"/>
                <w:kern w:val="24"/>
              </w:rPr>
              <w:t>5 anniversary years after graduation, transfer or withdrawal provided applicable audits have been released.</w:t>
            </w:r>
          </w:p>
        </w:tc>
      </w:tr>
    </w:tbl>
    <w:p w:rsidR="00A32181" w:rsidRPr="00A32181" w:rsidRDefault="00A32181" w:rsidP="00A32181">
      <w:pPr>
        <w:ind w:left="1440"/>
      </w:pPr>
    </w:p>
    <w:p w:rsidR="00C105B0" w:rsidRDefault="00C105B0"/>
    <w:sectPr w:rsidR="00C105B0" w:rsidSect="00A32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65C"/>
    <w:multiLevelType w:val="hybridMultilevel"/>
    <w:tmpl w:val="719AC3AA"/>
    <w:lvl w:ilvl="0" w:tplc="DC80BDCA">
      <w:start w:val="1"/>
      <w:numFmt w:val="bullet"/>
      <w:lvlText w:val="•"/>
      <w:lvlJc w:val="left"/>
      <w:pPr>
        <w:tabs>
          <w:tab w:val="num" w:pos="720"/>
        </w:tabs>
        <w:ind w:left="720" w:hanging="360"/>
      </w:pPr>
      <w:rPr>
        <w:rFonts w:ascii="Arial" w:hAnsi="Arial" w:hint="default"/>
      </w:rPr>
    </w:lvl>
    <w:lvl w:ilvl="1" w:tplc="A4AAA160">
      <w:numFmt w:val="bullet"/>
      <w:lvlText w:val="⎼"/>
      <w:lvlJc w:val="left"/>
      <w:pPr>
        <w:tabs>
          <w:tab w:val="num" w:pos="1440"/>
        </w:tabs>
        <w:ind w:left="1440" w:hanging="360"/>
      </w:pPr>
      <w:rPr>
        <w:rFonts w:ascii="Cambria Math" w:hAnsi="Cambria Math" w:hint="default"/>
      </w:rPr>
    </w:lvl>
    <w:lvl w:ilvl="2" w:tplc="9106071C">
      <w:start w:val="1"/>
      <w:numFmt w:val="bullet"/>
      <w:lvlText w:val="•"/>
      <w:lvlJc w:val="left"/>
      <w:pPr>
        <w:tabs>
          <w:tab w:val="num" w:pos="2160"/>
        </w:tabs>
        <w:ind w:left="2160" w:hanging="360"/>
      </w:pPr>
      <w:rPr>
        <w:rFonts w:ascii="Arial" w:hAnsi="Arial" w:hint="default"/>
      </w:rPr>
    </w:lvl>
    <w:lvl w:ilvl="3" w:tplc="F6C6D06A" w:tentative="1">
      <w:start w:val="1"/>
      <w:numFmt w:val="bullet"/>
      <w:lvlText w:val="•"/>
      <w:lvlJc w:val="left"/>
      <w:pPr>
        <w:tabs>
          <w:tab w:val="num" w:pos="2880"/>
        </w:tabs>
        <w:ind w:left="2880" w:hanging="360"/>
      </w:pPr>
      <w:rPr>
        <w:rFonts w:ascii="Arial" w:hAnsi="Arial" w:hint="default"/>
      </w:rPr>
    </w:lvl>
    <w:lvl w:ilvl="4" w:tplc="FE72ECA6" w:tentative="1">
      <w:start w:val="1"/>
      <w:numFmt w:val="bullet"/>
      <w:lvlText w:val="•"/>
      <w:lvlJc w:val="left"/>
      <w:pPr>
        <w:tabs>
          <w:tab w:val="num" w:pos="3600"/>
        </w:tabs>
        <w:ind w:left="3600" w:hanging="360"/>
      </w:pPr>
      <w:rPr>
        <w:rFonts w:ascii="Arial" w:hAnsi="Arial" w:hint="default"/>
      </w:rPr>
    </w:lvl>
    <w:lvl w:ilvl="5" w:tplc="497C6908" w:tentative="1">
      <w:start w:val="1"/>
      <w:numFmt w:val="bullet"/>
      <w:lvlText w:val="•"/>
      <w:lvlJc w:val="left"/>
      <w:pPr>
        <w:tabs>
          <w:tab w:val="num" w:pos="4320"/>
        </w:tabs>
        <w:ind w:left="4320" w:hanging="360"/>
      </w:pPr>
      <w:rPr>
        <w:rFonts w:ascii="Arial" w:hAnsi="Arial" w:hint="default"/>
      </w:rPr>
    </w:lvl>
    <w:lvl w:ilvl="6" w:tplc="AF34E626" w:tentative="1">
      <w:start w:val="1"/>
      <w:numFmt w:val="bullet"/>
      <w:lvlText w:val="•"/>
      <w:lvlJc w:val="left"/>
      <w:pPr>
        <w:tabs>
          <w:tab w:val="num" w:pos="5040"/>
        </w:tabs>
        <w:ind w:left="5040" w:hanging="360"/>
      </w:pPr>
      <w:rPr>
        <w:rFonts w:ascii="Arial" w:hAnsi="Arial" w:hint="default"/>
      </w:rPr>
    </w:lvl>
    <w:lvl w:ilvl="7" w:tplc="CD04AF14" w:tentative="1">
      <w:start w:val="1"/>
      <w:numFmt w:val="bullet"/>
      <w:lvlText w:val="•"/>
      <w:lvlJc w:val="left"/>
      <w:pPr>
        <w:tabs>
          <w:tab w:val="num" w:pos="5760"/>
        </w:tabs>
        <w:ind w:left="5760" w:hanging="360"/>
      </w:pPr>
      <w:rPr>
        <w:rFonts w:ascii="Arial" w:hAnsi="Arial" w:hint="default"/>
      </w:rPr>
    </w:lvl>
    <w:lvl w:ilvl="8" w:tplc="2EAE51C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53"/>
    <w:rsid w:val="00077713"/>
    <w:rsid w:val="001C0D87"/>
    <w:rsid w:val="005218B4"/>
    <w:rsid w:val="006D6903"/>
    <w:rsid w:val="00A32181"/>
    <w:rsid w:val="00C105B0"/>
    <w:rsid w:val="00DF6053"/>
    <w:rsid w:val="00F62B40"/>
    <w:rsid w:val="00FB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42BD8-3AEA-466D-A136-D1FC0A8D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21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53"/>
    <w:pPr>
      <w:ind w:left="720"/>
      <w:contextualSpacing/>
    </w:pPr>
  </w:style>
  <w:style w:type="character" w:styleId="Hyperlink">
    <w:name w:val="Hyperlink"/>
    <w:basedOn w:val="DefaultParagraphFont"/>
    <w:uiPriority w:val="99"/>
    <w:unhideWhenUsed/>
    <w:rsid w:val="00A32181"/>
    <w:rPr>
      <w:color w:val="0563C1" w:themeColor="hyperlink"/>
      <w:u w:val="single"/>
    </w:rPr>
  </w:style>
  <w:style w:type="paragraph" w:styleId="NormalWeb">
    <w:name w:val="Normal (Web)"/>
    <w:basedOn w:val="Normal"/>
    <w:uiPriority w:val="99"/>
    <w:semiHidden/>
    <w:unhideWhenUsed/>
    <w:rsid w:val="00A32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21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29135">
      <w:bodyDiv w:val="1"/>
      <w:marLeft w:val="0"/>
      <w:marRight w:val="0"/>
      <w:marTop w:val="0"/>
      <w:marBottom w:val="0"/>
      <w:divBdr>
        <w:top w:val="none" w:sz="0" w:space="0" w:color="auto"/>
        <w:left w:val="none" w:sz="0" w:space="0" w:color="auto"/>
        <w:bottom w:val="none" w:sz="0" w:space="0" w:color="auto"/>
        <w:right w:val="none" w:sz="0" w:space="0" w:color="auto"/>
      </w:divBdr>
    </w:div>
    <w:div w:id="1373195006">
      <w:bodyDiv w:val="1"/>
      <w:marLeft w:val="0"/>
      <w:marRight w:val="0"/>
      <w:marTop w:val="0"/>
      <w:marBottom w:val="0"/>
      <w:divBdr>
        <w:top w:val="none" w:sz="0" w:space="0" w:color="auto"/>
        <w:left w:val="none" w:sz="0" w:space="0" w:color="auto"/>
        <w:bottom w:val="none" w:sz="0" w:space="0" w:color="auto"/>
        <w:right w:val="none" w:sz="0" w:space="0" w:color="auto"/>
      </w:divBdr>
      <w:divsChild>
        <w:div w:id="423647721">
          <w:marLeft w:val="1195"/>
          <w:marRight w:val="0"/>
          <w:marTop w:val="110"/>
          <w:marBottom w:val="0"/>
          <w:divBdr>
            <w:top w:val="none" w:sz="0" w:space="0" w:color="auto"/>
            <w:left w:val="none" w:sz="0" w:space="0" w:color="auto"/>
            <w:bottom w:val="none" w:sz="0" w:space="0" w:color="auto"/>
            <w:right w:val="none" w:sz="0" w:space="0" w:color="auto"/>
          </w:divBdr>
        </w:div>
        <w:div w:id="1186477236">
          <w:marLeft w:val="403"/>
          <w:marRight w:val="0"/>
          <w:marTop w:val="220"/>
          <w:marBottom w:val="0"/>
          <w:divBdr>
            <w:top w:val="none" w:sz="0" w:space="0" w:color="auto"/>
            <w:left w:val="none" w:sz="0" w:space="0" w:color="auto"/>
            <w:bottom w:val="none" w:sz="0" w:space="0" w:color="auto"/>
            <w:right w:val="none" w:sz="0" w:space="0" w:color="auto"/>
          </w:divBdr>
        </w:div>
        <w:div w:id="1364474027">
          <w:marLeft w:val="1195"/>
          <w:marRight w:val="0"/>
          <w:marTop w:val="110"/>
          <w:marBottom w:val="0"/>
          <w:divBdr>
            <w:top w:val="none" w:sz="0" w:space="0" w:color="auto"/>
            <w:left w:val="none" w:sz="0" w:space="0" w:color="auto"/>
            <w:bottom w:val="none" w:sz="0" w:space="0" w:color="auto"/>
            <w:right w:val="none" w:sz="0" w:space="0" w:color="auto"/>
          </w:divBdr>
        </w:div>
        <w:div w:id="1623414366">
          <w:marLeft w:val="1195"/>
          <w:marRight w:val="0"/>
          <w:marTop w:val="110"/>
          <w:marBottom w:val="0"/>
          <w:divBdr>
            <w:top w:val="none" w:sz="0" w:space="0" w:color="auto"/>
            <w:left w:val="none" w:sz="0" w:space="0" w:color="auto"/>
            <w:bottom w:val="none" w:sz="0" w:space="0" w:color="auto"/>
            <w:right w:val="none" w:sz="0" w:space="0" w:color="auto"/>
          </w:divBdr>
        </w:div>
        <w:div w:id="1864203920">
          <w:marLeft w:val="403"/>
          <w:marRight w:val="0"/>
          <w:marTop w:val="220"/>
          <w:marBottom w:val="0"/>
          <w:divBdr>
            <w:top w:val="none" w:sz="0" w:space="0" w:color="auto"/>
            <w:left w:val="none" w:sz="0" w:space="0" w:color="auto"/>
            <w:bottom w:val="none" w:sz="0" w:space="0" w:color="auto"/>
            <w:right w:val="none" w:sz="0" w:space="0" w:color="auto"/>
          </w:divBdr>
        </w:div>
      </w:divsChild>
    </w:div>
    <w:div w:id="1624968906">
      <w:bodyDiv w:val="1"/>
      <w:marLeft w:val="0"/>
      <w:marRight w:val="0"/>
      <w:marTop w:val="0"/>
      <w:marBottom w:val="0"/>
      <w:divBdr>
        <w:top w:val="none" w:sz="0" w:space="0" w:color="auto"/>
        <w:left w:val="none" w:sz="0" w:space="0" w:color="auto"/>
        <w:bottom w:val="none" w:sz="0" w:space="0" w:color="auto"/>
        <w:right w:val="none" w:sz="0" w:space="0" w:color="auto"/>
      </w:divBdr>
    </w:div>
    <w:div w:id="2044360100">
      <w:bodyDiv w:val="1"/>
      <w:marLeft w:val="0"/>
      <w:marRight w:val="0"/>
      <w:marTop w:val="0"/>
      <w:marBottom w:val="0"/>
      <w:divBdr>
        <w:top w:val="none" w:sz="0" w:space="0" w:color="auto"/>
        <w:left w:val="none" w:sz="0" w:space="0" w:color="auto"/>
        <w:bottom w:val="none" w:sz="0" w:space="0" w:color="auto"/>
        <w:right w:val="none" w:sz="0" w:space="0" w:color="auto"/>
      </w:divBdr>
      <w:divsChild>
        <w:div w:id="291136121">
          <w:marLeft w:val="1195"/>
          <w:marRight w:val="0"/>
          <w:marTop w:val="110"/>
          <w:marBottom w:val="0"/>
          <w:divBdr>
            <w:top w:val="none" w:sz="0" w:space="0" w:color="auto"/>
            <w:left w:val="none" w:sz="0" w:space="0" w:color="auto"/>
            <w:bottom w:val="none" w:sz="0" w:space="0" w:color="auto"/>
            <w:right w:val="none" w:sz="0" w:space="0" w:color="auto"/>
          </w:divBdr>
        </w:div>
        <w:div w:id="824207354">
          <w:marLeft w:val="1195"/>
          <w:marRight w:val="0"/>
          <w:marTop w:val="110"/>
          <w:marBottom w:val="0"/>
          <w:divBdr>
            <w:top w:val="none" w:sz="0" w:space="0" w:color="auto"/>
            <w:left w:val="none" w:sz="0" w:space="0" w:color="auto"/>
            <w:bottom w:val="none" w:sz="0" w:space="0" w:color="auto"/>
            <w:right w:val="none" w:sz="0" w:space="0" w:color="auto"/>
          </w:divBdr>
        </w:div>
        <w:div w:id="980503154">
          <w:marLeft w:val="403"/>
          <w:marRight w:val="0"/>
          <w:marTop w:val="220"/>
          <w:marBottom w:val="0"/>
          <w:divBdr>
            <w:top w:val="none" w:sz="0" w:space="0" w:color="auto"/>
            <w:left w:val="none" w:sz="0" w:space="0" w:color="auto"/>
            <w:bottom w:val="none" w:sz="0" w:space="0" w:color="auto"/>
            <w:right w:val="none" w:sz="0" w:space="0" w:color="auto"/>
          </w:divBdr>
        </w:div>
        <w:div w:id="1349713994">
          <w:marLeft w:val="403"/>
          <w:marRight w:val="0"/>
          <w:marTop w:val="220"/>
          <w:marBottom w:val="0"/>
          <w:divBdr>
            <w:top w:val="none" w:sz="0" w:space="0" w:color="auto"/>
            <w:left w:val="none" w:sz="0" w:space="0" w:color="auto"/>
            <w:bottom w:val="none" w:sz="0" w:space="0" w:color="auto"/>
            <w:right w:val="none" w:sz="0" w:space="0" w:color="auto"/>
          </w:divBdr>
        </w:div>
        <w:div w:id="1782266123">
          <w:marLeft w:val="1195"/>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myflorida.com/media/31105/basicsrecordsmanagement.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dos.myflorida.com/library-archives/records-management/general-records-sched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C@floridapoly.edu" TargetMode="External"/><Relationship Id="rId11" Type="http://schemas.openxmlformats.org/officeDocument/2006/relationships/fontTable" Target="fontTable.xml"/><Relationship Id="rId5" Type="http://schemas.openxmlformats.org/officeDocument/2006/relationships/hyperlink" Target="https://floridapoly.edu/wp-content/uploads/2017/07/FPU-1.0123P-Public-Records-Policy-8.27.14.pdf" TargetMode="External"/><Relationship Id="rId10" Type="http://schemas.openxmlformats.org/officeDocument/2006/relationships/hyperlink" Target="https://floridapoly.edu/wp-content/uploads/2017/07/FPU-1.0122P-Record-Retention-Policy-8.26.14.pdf" TargetMode="External"/><Relationship Id="rId4" Type="http://schemas.openxmlformats.org/officeDocument/2006/relationships/webSettings" Target="webSettings.xml"/><Relationship Id="rId9" Type="http://schemas.openxmlformats.org/officeDocument/2006/relationships/hyperlink" Target="http://dos.myflorida.com/media/693587/gs05.xl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D5784BE15604A91FA7A7C0A135FB8" ma:contentTypeVersion="16" ma:contentTypeDescription="Create a new document." ma:contentTypeScope="" ma:versionID="4569c3c78cf3a79493e7f2cd177339d0">
  <xsd:schema xmlns:xsd="http://www.w3.org/2001/XMLSchema" xmlns:xs="http://www.w3.org/2001/XMLSchema" xmlns:p="http://schemas.microsoft.com/office/2006/metadata/properties" xmlns:ns2="58aca5a8-3a03-4efe-b3dd-e56dec6b7e72" xmlns:ns3="37198f35-0b70-4e11-94b6-8193df74312a" targetNamespace="http://schemas.microsoft.com/office/2006/metadata/properties" ma:root="true" ma:fieldsID="3f10cf8781c3c840de22cc66e55d7d0d" ns2:_="" ns3:_="">
    <xsd:import namespace="58aca5a8-3a03-4efe-b3dd-e56dec6b7e72"/>
    <xsd:import namespace="37198f35-0b70-4e11-94b6-8193df743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a5a8-3a03-4efe-b3dd-e56dec6b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98f35-0b70-4e11-94b6-8193df7431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52ef39-62aa-41ae-b6aa-94aaa3d3ea09}" ma:internalName="TaxCatchAll" ma:showField="CatchAllData" ma:web="37198f35-0b70-4e11-94b6-8193df743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F6E0A-B718-4C70-97E8-7842B52EF566}"/>
</file>

<file path=customXml/itemProps2.xml><?xml version="1.0" encoding="utf-8"?>
<ds:datastoreItem xmlns:ds="http://schemas.openxmlformats.org/officeDocument/2006/customXml" ds:itemID="{052E244C-27F4-46CA-AB9E-9FD7CC9E571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Polytechnic University</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Melaine Schmiz</dc:creator>
  <cp:keywords/>
  <dc:description/>
  <cp:lastModifiedBy>Melaine Schmiz</cp:lastModifiedBy>
  <cp:revision>2</cp:revision>
  <dcterms:created xsi:type="dcterms:W3CDTF">2018-02-14T16:59:00Z</dcterms:created>
  <dcterms:modified xsi:type="dcterms:W3CDTF">2018-02-14T16:59:00Z</dcterms:modified>
</cp:coreProperties>
</file>